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DF" w:rsidRPr="00787BF1" w:rsidRDefault="002533DF" w:rsidP="002533DF">
      <w:pPr>
        <w:pStyle w:val="Heading2"/>
      </w:pPr>
      <w:bookmarkStart w:id="0" w:name="_Toc155342862"/>
      <w:bookmarkStart w:id="1" w:name="_GoBack"/>
      <w:r w:rsidRPr="00787BF1">
        <w:rPr>
          <w:b/>
          <w:sz w:val="24"/>
        </w:rPr>
        <w:t>184. LUẬT KINH DOANH QUỐC TẾ</w:t>
      </w:r>
      <w:r w:rsidRPr="00787BF1" w:rsidDel="00494BF4">
        <w:rPr>
          <w:b/>
          <w:bCs/>
          <w:sz w:val="24"/>
        </w:rPr>
        <w:t xml:space="preserve"> </w:t>
      </w:r>
      <w:bookmarkEnd w:id="1"/>
      <w:r w:rsidRPr="00787BF1">
        <w:rPr>
          <w:i/>
        </w:rPr>
        <w:t xml:space="preserve">(cg. </w:t>
      </w:r>
      <w:proofErr w:type="spellStart"/>
      <w:r w:rsidRPr="00787BF1">
        <w:rPr>
          <w:i/>
        </w:rPr>
        <w:t>Luật</w:t>
      </w:r>
      <w:proofErr w:type="spellEnd"/>
      <w:r w:rsidRPr="00787BF1">
        <w:rPr>
          <w:i/>
        </w:rPr>
        <w:t xml:space="preserve"> </w:t>
      </w:r>
      <w:proofErr w:type="spellStart"/>
      <w:r w:rsidRPr="00787BF1">
        <w:rPr>
          <w:i/>
        </w:rPr>
        <w:t>thương</w:t>
      </w:r>
      <w:proofErr w:type="spellEnd"/>
      <w:r w:rsidRPr="00787BF1">
        <w:rPr>
          <w:i/>
        </w:rPr>
        <w:t xml:space="preserve"> </w:t>
      </w:r>
      <w:proofErr w:type="spellStart"/>
      <w:r w:rsidRPr="00787BF1">
        <w:rPr>
          <w:i/>
        </w:rPr>
        <w:t>mại</w:t>
      </w:r>
      <w:proofErr w:type="spellEnd"/>
      <w:r w:rsidRPr="00787BF1">
        <w:rPr>
          <w:i/>
        </w:rPr>
        <w:t xml:space="preserve"> </w:t>
      </w:r>
      <w:proofErr w:type="spellStart"/>
      <w:r w:rsidRPr="00787BF1">
        <w:rPr>
          <w:i/>
        </w:rPr>
        <w:t>quốc</w:t>
      </w:r>
      <w:proofErr w:type="spellEnd"/>
      <w:r w:rsidRPr="00787BF1">
        <w:rPr>
          <w:i/>
        </w:rPr>
        <w:t xml:space="preserve"> </w:t>
      </w:r>
      <w:proofErr w:type="spellStart"/>
      <w:r w:rsidRPr="00787BF1">
        <w:rPr>
          <w:i/>
        </w:rPr>
        <w:t>tế</w:t>
      </w:r>
      <w:proofErr w:type="spellEnd"/>
      <w:r w:rsidRPr="00787BF1">
        <w:rPr>
          <w:i/>
        </w:rPr>
        <w:t>)</w:t>
      </w:r>
      <w:r>
        <w:t>,</w:t>
      </w:r>
      <w:r w:rsidRPr="00787BF1">
        <w:t xml:space="preserve"> </w:t>
      </w:r>
      <w:proofErr w:type="spellStart"/>
      <w:r w:rsidRPr="00787BF1">
        <w:t>tổng</w:t>
      </w:r>
      <w:proofErr w:type="spellEnd"/>
      <w:r w:rsidRPr="00787BF1">
        <w:t xml:space="preserve"> </w:t>
      </w:r>
      <w:proofErr w:type="spellStart"/>
      <w:r w:rsidRPr="00787BF1">
        <w:t>hợp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nguyên</w:t>
      </w:r>
      <w:proofErr w:type="spellEnd"/>
      <w:r w:rsidRPr="00787BF1">
        <w:t xml:space="preserve"> </w:t>
      </w:r>
      <w:proofErr w:type="spellStart"/>
      <w:r w:rsidRPr="00787BF1">
        <w:t>tắc</w:t>
      </w:r>
      <w:proofErr w:type="spellEnd"/>
      <w:r w:rsidRPr="00787BF1">
        <w:t xml:space="preserve">, </w:t>
      </w:r>
      <w:proofErr w:type="spellStart"/>
      <w:r w:rsidRPr="00787BF1">
        <w:t>quy</w:t>
      </w:r>
      <w:proofErr w:type="spellEnd"/>
      <w:r w:rsidRPr="00787BF1">
        <w:t xml:space="preserve"> </w:t>
      </w:r>
      <w:proofErr w:type="spellStart"/>
      <w:r w:rsidRPr="00787BF1">
        <w:t>phạm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luật</w:t>
      </w:r>
      <w:proofErr w:type="spellEnd"/>
      <w:r w:rsidRPr="00787BF1">
        <w:t xml:space="preserve"> </w:t>
      </w:r>
      <w:proofErr w:type="spellStart"/>
      <w:r w:rsidRPr="00787BF1">
        <w:t>điều</w:t>
      </w:r>
      <w:proofErr w:type="spellEnd"/>
      <w:r w:rsidRPr="00787BF1">
        <w:t xml:space="preserve"> </w:t>
      </w:r>
      <w:proofErr w:type="spellStart"/>
      <w:r w:rsidRPr="00787BF1">
        <w:t>chỉnh</w:t>
      </w:r>
      <w:proofErr w:type="spellEnd"/>
      <w:r w:rsidRPr="00787BF1">
        <w:t xml:space="preserve"> </w:t>
      </w:r>
      <w:proofErr w:type="spellStart"/>
      <w:r w:rsidRPr="00787BF1">
        <w:t>lĩnh</w:t>
      </w:r>
      <w:proofErr w:type="spellEnd"/>
      <w:r w:rsidRPr="00787BF1">
        <w:t xml:space="preserve"> </w:t>
      </w:r>
      <w:proofErr w:type="spellStart"/>
      <w:r w:rsidRPr="00787BF1">
        <w:t>vực</w:t>
      </w:r>
      <w:proofErr w:type="spellEnd"/>
      <w:r w:rsidRPr="00787BF1">
        <w:t xml:space="preserve"> </w:t>
      </w:r>
      <w:proofErr w:type="spellStart"/>
      <w:r w:rsidRPr="00787BF1">
        <w:t>kinh</w:t>
      </w:r>
      <w:proofErr w:type="spellEnd"/>
      <w:r w:rsidRPr="00787BF1">
        <w:t xml:space="preserve"> </w:t>
      </w:r>
      <w:proofErr w:type="spellStart"/>
      <w:r w:rsidRPr="00787BF1">
        <w:t>doanh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tế</w:t>
      </w:r>
      <w:proofErr w:type="spellEnd"/>
      <w:r w:rsidRPr="00787BF1">
        <w:t xml:space="preserve">, </w:t>
      </w:r>
      <w:proofErr w:type="spellStart"/>
      <w:r w:rsidRPr="00787BF1">
        <w:t>giữa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chủ</w:t>
      </w:r>
      <w:proofErr w:type="spellEnd"/>
      <w:r w:rsidRPr="00787BF1">
        <w:t xml:space="preserve"> </w:t>
      </w:r>
      <w:proofErr w:type="spellStart"/>
      <w:r w:rsidRPr="00787BF1">
        <w:t>thể</w:t>
      </w:r>
      <w:proofErr w:type="spellEnd"/>
      <w:r w:rsidRPr="00787BF1">
        <w:t xml:space="preserve"> </w:t>
      </w:r>
      <w:proofErr w:type="spellStart"/>
      <w:r w:rsidRPr="00787BF1">
        <w:t>trong</w:t>
      </w:r>
      <w:proofErr w:type="spellEnd"/>
      <w:r w:rsidRPr="00787BF1">
        <w:t xml:space="preserve"> </w:t>
      </w:r>
      <w:proofErr w:type="spellStart"/>
      <w:r w:rsidRPr="00787BF1">
        <w:t>hoạt</w:t>
      </w:r>
      <w:proofErr w:type="spellEnd"/>
      <w:r w:rsidRPr="00787BF1">
        <w:t xml:space="preserve"> </w:t>
      </w:r>
      <w:proofErr w:type="spellStart"/>
      <w:r w:rsidRPr="00787BF1">
        <w:t>động</w:t>
      </w:r>
      <w:proofErr w:type="spellEnd"/>
      <w:r w:rsidRPr="00787BF1">
        <w:t xml:space="preserve"> </w:t>
      </w:r>
      <w:proofErr w:type="spellStart"/>
      <w:r w:rsidRPr="00787BF1">
        <w:t>kinh</w:t>
      </w:r>
      <w:proofErr w:type="spellEnd"/>
      <w:r w:rsidRPr="00787BF1">
        <w:t xml:space="preserve"> </w:t>
      </w:r>
      <w:proofErr w:type="spellStart"/>
      <w:r w:rsidRPr="00787BF1">
        <w:t>doanh</w:t>
      </w:r>
      <w:proofErr w:type="spellEnd"/>
      <w:r w:rsidRPr="00787BF1">
        <w:t xml:space="preserve"> </w:t>
      </w:r>
      <w:proofErr w:type="spellStart"/>
      <w:r w:rsidRPr="00787BF1">
        <w:t>thương</w:t>
      </w:r>
      <w:proofErr w:type="spellEnd"/>
      <w:r w:rsidRPr="00787BF1">
        <w:t xml:space="preserve"> </w:t>
      </w:r>
      <w:proofErr w:type="spellStart"/>
      <w:r w:rsidRPr="00787BF1">
        <w:t>mại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tế</w:t>
      </w:r>
      <w:proofErr w:type="spellEnd"/>
      <w:r w:rsidRPr="00787BF1">
        <w:t>.</w:t>
      </w:r>
      <w:bookmarkEnd w:id="0"/>
    </w:p>
    <w:p w:rsidR="002533DF" w:rsidRPr="00787BF1" w:rsidRDefault="002533DF" w:rsidP="002533DF">
      <w:pPr>
        <w:widowControl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LKDQT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bởi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sinh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)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phi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đẳng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ý </w:t>
      </w:r>
      <w:proofErr w:type="spellStart"/>
      <w:r w:rsidRPr="00787BF1">
        <w:rPr>
          <w:szCs w:val="28"/>
        </w:rPr>
        <w:t>chí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tham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xuất</w:t>
      </w:r>
      <w:proofErr w:type="spellEnd"/>
      <w:r>
        <w:rPr>
          <w:szCs w:val="28"/>
        </w:rPr>
        <w:t>,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</w:t>
      </w:r>
      <w:proofErr w:type="spellEnd"/>
      <w:r w:rsidRPr="00787BF1">
        <w:rPr>
          <w:szCs w:val="28"/>
        </w:rPr>
        <w:t>. </w:t>
      </w:r>
    </w:p>
    <w:p w:rsidR="002533DF" w:rsidRPr="00787BF1" w:rsidRDefault="002533DF" w:rsidP="002533DF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Yếu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Ví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tại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chuyển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di </w:t>
      </w:r>
      <w:proofErr w:type="spellStart"/>
      <w:r w:rsidRPr="00787BF1">
        <w:rPr>
          <w:szCs w:val="28"/>
        </w:rPr>
        <w:t>chuyển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vốn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vượt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);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thay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đổi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chấm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xảy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>.</w:t>
      </w:r>
    </w:p>
    <w:p w:rsidR="002533DF" w:rsidRPr="00787BF1" w:rsidRDefault="002533DF" w:rsidP="002533DF">
      <w:pPr>
        <w:widowControl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LKDQT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dẫn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chiếu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tham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. INCOTERMS (International Commercial Terms) –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Phòng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(ICC) </w:t>
      </w:r>
      <w:proofErr w:type="spellStart"/>
      <w:r w:rsidRPr="00787BF1">
        <w:rPr>
          <w:szCs w:val="28"/>
        </w:rPr>
        <w:t>soạn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. INCOTERMS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riêng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INCOTERMS.</w:t>
      </w:r>
    </w:p>
    <w:p w:rsidR="002533DF" w:rsidRPr="00787BF1" w:rsidRDefault="002533DF" w:rsidP="002533DF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LKDQT: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huệ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(Most </w:t>
      </w:r>
      <w:proofErr w:type="spellStart"/>
      <w:r w:rsidRPr="00787BF1">
        <w:rPr>
          <w:szCs w:val="28"/>
        </w:rPr>
        <w:t>Favoured</w:t>
      </w:r>
      <w:proofErr w:type="spellEnd"/>
      <w:r w:rsidRPr="00787BF1">
        <w:rPr>
          <w:szCs w:val="28"/>
        </w:rPr>
        <w:t xml:space="preserve"> Nation Treatment – MFNT),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cam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lai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(National Treatment),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cam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phẩm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so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phẩm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mình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bằng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minh </w:t>
      </w:r>
      <w:proofErr w:type="spellStart"/>
      <w:r w:rsidRPr="00787BF1">
        <w:rPr>
          <w:szCs w:val="28"/>
        </w:rPr>
        <w:t>bạch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sớm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đổi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(WTO).</w:t>
      </w:r>
    </w:p>
    <w:p w:rsidR="002533DF" w:rsidRPr="00787BF1" w:rsidRDefault="002533DF" w:rsidP="002533DF">
      <w:pPr>
        <w:widowControl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đột</w:t>
      </w:r>
      <w:proofErr w:type="spellEnd"/>
      <w:r w:rsidRPr="00787BF1">
        <w:rPr>
          <w:szCs w:val="28"/>
        </w:rPr>
        <w:t xml:space="preserve"> LKDQT: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LKDQT </w:t>
      </w:r>
      <w:proofErr w:type="spellStart"/>
      <w:r w:rsidRPr="00787BF1">
        <w:rPr>
          <w:szCs w:val="28"/>
        </w:rPr>
        <w:t>thuộc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lastRenderedPageBreak/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LKDQT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>.</w:t>
      </w:r>
    </w:p>
    <w:p w:rsidR="002533DF" w:rsidRPr="00787BF1" w:rsidRDefault="002533DF" w:rsidP="002533DF">
      <w:pPr>
        <w:spacing w:before="120"/>
        <w:ind w:firstLine="284"/>
        <w:jc w:val="right"/>
        <w:rPr>
          <w:sz w:val="22"/>
        </w:rPr>
      </w:pPr>
      <w:r w:rsidRPr="00787BF1">
        <w:rPr>
          <w:b/>
          <w:bCs/>
          <w:sz w:val="22"/>
        </w:rPr>
        <w:t>ĐINH NGỌC VƯỢNG</w:t>
      </w:r>
    </w:p>
    <w:p w:rsidR="002533DF" w:rsidRPr="00787BF1" w:rsidRDefault="002533DF" w:rsidP="002533DF">
      <w:pPr>
        <w:tabs>
          <w:tab w:val="left" w:pos="567"/>
        </w:tabs>
        <w:spacing w:before="120"/>
        <w:ind w:firstLine="284"/>
        <w:rPr>
          <w:sz w:val="24"/>
          <w:szCs w:val="24"/>
        </w:rPr>
      </w:pPr>
      <w:proofErr w:type="spellStart"/>
      <w:r w:rsidRPr="00787BF1">
        <w:rPr>
          <w:b/>
          <w:bCs/>
          <w:sz w:val="24"/>
          <w:szCs w:val="24"/>
        </w:rPr>
        <w:t>Tài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liệu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tham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khảo</w:t>
      </w:r>
      <w:proofErr w:type="spellEnd"/>
      <w:r w:rsidRPr="00787BF1">
        <w:rPr>
          <w:b/>
          <w:bCs/>
          <w:sz w:val="24"/>
          <w:szCs w:val="24"/>
        </w:rPr>
        <w:t>:</w:t>
      </w:r>
    </w:p>
    <w:p w:rsidR="002533DF" w:rsidRPr="00787BF1" w:rsidRDefault="002533DF" w:rsidP="002533DF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Cs w:val="28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phố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Hồ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</w:t>
      </w:r>
      <w:proofErr w:type="spellEnd"/>
      <w:r w:rsidRPr="00787BF1">
        <w:rPr>
          <w:sz w:val="24"/>
          <w:szCs w:val="24"/>
        </w:rPr>
        <w:t xml:space="preserve"> Minh, </w:t>
      </w:r>
      <w:proofErr w:type="spellStart"/>
      <w:r w:rsidRPr="00787BF1">
        <w:rPr>
          <w:i/>
          <w:iCs/>
          <w:sz w:val="24"/>
          <w:szCs w:val="24"/>
        </w:rPr>
        <w:t>Giáo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trình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Tư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pháp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quốc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phố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Hồ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</w:t>
      </w:r>
      <w:proofErr w:type="spellEnd"/>
      <w:r w:rsidRPr="00787BF1">
        <w:rPr>
          <w:sz w:val="24"/>
          <w:szCs w:val="24"/>
        </w:rPr>
        <w:t xml:space="preserve"> Minh, 2014</w:t>
      </w:r>
      <w:r w:rsidRPr="00787BF1">
        <w:rPr>
          <w:szCs w:val="28"/>
        </w:rPr>
        <w:t>.</w:t>
      </w:r>
    </w:p>
    <w:p w:rsidR="002533DF" w:rsidRPr="00787BF1" w:rsidRDefault="002533DF" w:rsidP="002533DF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iCs/>
          <w:sz w:val="24"/>
          <w:szCs w:val="24"/>
        </w:rPr>
        <w:t>Giáo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trình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Tư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pháp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quốc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2013.</w:t>
      </w:r>
    </w:p>
    <w:p w:rsidR="002533DF" w:rsidRPr="00787BF1" w:rsidRDefault="002533DF" w:rsidP="002533DF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iCs/>
          <w:sz w:val="24"/>
          <w:szCs w:val="24"/>
        </w:rPr>
        <w:t>Giáo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trình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Luật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Thương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mại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quốc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Công</w:t>
      </w:r>
      <w:proofErr w:type="spellEnd"/>
      <w:r w:rsidRPr="00787BF1">
        <w:rPr>
          <w:sz w:val="24"/>
          <w:szCs w:val="24"/>
        </w:rPr>
        <w:t xml:space="preserve"> an </w:t>
      </w:r>
      <w:proofErr w:type="spellStart"/>
      <w:r w:rsidRPr="00787BF1">
        <w:rPr>
          <w:sz w:val="24"/>
          <w:szCs w:val="24"/>
        </w:rPr>
        <w:t>nhân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2012.</w:t>
      </w:r>
    </w:p>
    <w:p w:rsidR="002533DF" w:rsidRPr="00787BF1" w:rsidRDefault="002533DF" w:rsidP="002533DF">
      <w:pPr>
        <w:numPr>
          <w:ilvl w:val="0"/>
          <w:numId w:val="1"/>
        </w:numPr>
        <w:tabs>
          <w:tab w:val="clear" w:pos="720"/>
          <w:tab w:val="left" w:pos="567"/>
        </w:tabs>
        <w:spacing w:before="120"/>
        <w:ind w:left="0" w:firstLine="284"/>
        <w:jc w:val="both"/>
        <w:textAlignment w:val="baseline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Nguyễn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Thị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Mơ</w:t>
      </w:r>
      <w:proofErr w:type="spellEnd"/>
      <w:r w:rsidRPr="00787BF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biên</w:t>
      </w:r>
      <w:proofErr w:type="spellEnd"/>
      <w:r>
        <w:rPr>
          <w:sz w:val="24"/>
          <w:szCs w:val="24"/>
        </w:rPr>
        <w:t>)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iCs/>
          <w:sz w:val="24"/>
          <w:szCs w:val="24"/>
        </w:rPr>
        <w:t>Giáo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trình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Pháp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luật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trong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hoạt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động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kinh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tế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đối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ngoại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Thông</w:t>
      </w:r>
      <w:proofErr w:type="spellEnd"/>
      <w:r w:rsidRPr="00787BF1">
        <w:rPr>
          <w:sz w:val="24"/>
          <w:szCs w:val="24"/>
        </w:rPr>
        <w:t xml:space="preserve"> tin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truyền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thông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2009.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6665A"/>
    <w:multiLevelType w:val="multilevel"/>
    <w:tmpl w:val="1F60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DF"/>
    <w:rsid w:val="001324E1"/>
    <w:rsid w:val="002533DF"/>
    <w:rsid w:val="005630BE"/>
    <w:rsid w:val="00666C5C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49904-25AF-472D-B349-55CEDCA0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DF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2533DF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2533DF"/>
    <w:rPr>
      <w:rFonts w:eastAsia="Calibri"/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2025-12-15T03:57:00Z</dcterms:created>
  <dcterms:modified xsi:type="dcterms:W3CDTF">2025-12-15T03:57:00Z</dcterms:modified>
</cp:coreProperties>
</file>